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1"/>
        <w:gridCol w:w="1607"/>
        <w:gridCol w:w="696"/>
        <w:gridCol w:w="643"/>
        <w:gridCol w:w="1050"/>
        <w:gridCol w:w="1061"/>
        <w:gridCol w:w="2978"/>
      </w:tblGrid>
      <w:tr w:rsidR="00CD412A" w:rsidTr="00F714EC">
        <w:trPr>
          <w:trHeight w:val="600"/>
        </w:trPr>
        <w:tc>
          <w:tcPr>
            <w:tcW w:w="8496" w:type="dxa"/>
            <w:gridSpan w:val="7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36"/>
                <w:szCs w:val="36"/>
                <w:lang w:bidi="ar"/>
              </w:rPr>
              <w:t>130新中式装修报价表</w:t>
            </w:r>
            <w:bookmarkEnd w:id="0"/>
          </w:p>
        </w:tc>
      </w:tr>
      <w:tr w:rsidR="00CD412A" w:rsidTr="00F714EC">
        <w:trPr>
          <w:trHeight w:val="600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64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</w:p>
        </w:tc>
      </w:tr>
      <w:tr w:rsidR="00CD412A" w:rsidTr="00F714EC">
        <w:trPr>
          <w:trHeight w:val="600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户型: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建筑面积：  约130m</w:t>
            </w:r>
            <w:r>
              <w:rPr>
                <w:rStyle w:val="font01"/>
                <w:rFonts w:hint="default"/>
                <w:lang w:bidi="ar"/>
              </w:rPr>
              <w:t>2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联系电话：</w:t>
            </w:r>
          </w:p>
        </w:tc>
      </w:tr>
      <w:tr w:rsidR="00CD412A" w:rsidTr="00F714EC">
        <w:trPr>
          <w:trHeight w:val="600"/>
        </w:trPr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预算人：</w:t>
            </w:r>
          </w:p>
        </w:tc>
        <w:tc>
          <w:tcPr>
            <w:tcW w:w="3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工艺：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日期：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单价（元）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总价（元）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施工工艺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一、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left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8"/>
                <w:szCs w:val="28"/>
                <w:lang w:bidi="ar"/>
              </w:rPr>
              <w:t>客厅、餐厅、走道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800*800地砖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36.30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3085.50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水泥砂浆贴800*800通体大理石瓷砖</w:t>
            </w:r>
          </w:p>
        </w:tc>
      </w:tr>
      <w:tr w:rsidR="00CD412A" w:rsidTr="00F714EC">
        <w:trPr>
          <w:trHeight w:val="13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顶面乳胶漆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36.30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907.50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原墙粉刷石膏找平一遍，刷专用界面剂一遍、刮雅士利专用腻子平均二遍，精细打磨刷雅士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利净味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三合一白色乳胶漆两遍；特殊调色、重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色增加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200元/色。</w:t>
            </w:r>
          </w:p>
        </w:tc>
      </w:tr>
      <w:tr w:rsidR="00CD412A" w:rsidTr="00F714EC">
        <w:trPr>
          <w:trHeight w:val="121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墙面壁纸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88.20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3087.00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刷天丽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环保型基膜，天丽食用级糯米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粉胶贴佳合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美无纺纸。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石膏板异形吊顶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636.00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轻钢龙骨泰山牌石膏板异形吊顶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直线石膏板吊顶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3280.00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轻钢龙骨泰山牌石膏板二级吊顶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木制顶线条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875.00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青岛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木密度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板加工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制作吸塑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石膏板隔墙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680.00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泰山牌轻钢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龙骨基架，泰山牌纸面石膏板饰面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窗帘盒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259.00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轻钢龙骨1.5厚细木工板基层贴纸面石膏板饰面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瓷砖踢脚线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16.00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403.20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水泥砂浆贴10cm高瓷砖踢脚线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10.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影视墙木制作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4.25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1083.75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瓷砖背景墙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410.00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2378.00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瓷砖浮雕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16674.95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二、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主卧室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复合木地板地面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96.00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1440.00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1.0厚复合木地板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地面找平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28.00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420.00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水泥砂浆找平地面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木塑踢脚线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14.50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217.50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铝制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门挡条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38.00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</w:p>
        </w:tc>
      </w:tr>
      <w:tr w:rsidR="00CD412A" w:rsidTr="00F714EC">
        <w:trPr>
          <w:trHeight w:val="138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顶面乳胶漆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15.30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382.50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原墙粉刷石膏找平一遍，刷专用界面剂一遍、刮雅士利专用腻子平均二遍，精细打磨刷雅士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利净味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三合一白色乳胶漆两遍；特殊调色、重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色增加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200元/色。</w:t>
            </w:r>
          </w:p>
        </w:tc>
      </w:tr>
      <w:tr w:rsidR="00CD412A" w:rsidTr="00F714EC">
        <w:trPr>
          <w:trHeight w:val="132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墙面壁纸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32.00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1120.00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刷天丽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环保型基膜，天丽食用级糯米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粉胶贴佳合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美无纺纸。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石膏板异形吊顶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204.00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轻钢龙骨泰山牌石膏板异形吊顶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直线石膏板吊顶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1120.00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轻钢龙骨泰山牌石膏板二级吊顶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木制顶线条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300.00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青岛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木密度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板加工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制作吸塑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10.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窗帘盒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1200.00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轻钢龙骨1.5厚细木工板基层贴纸面石膏板饰面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6442.00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三、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次卧室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复合木地板地面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96.00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1056.00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1.0厚复合木地板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地面找平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28.00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308.00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水泥砂浆找平地面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木塑踢脚线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189.00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铝制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门挡条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38.00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</w:p>
        </w:tc>
      </w:tr>
      <w:tr w:rsidR="00CD412A" w:rsidTr="00F714EC">
        <w:trPr>
          <w:trHeight w:val="139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顶面乳胶漆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275.00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原墙粉刷石膏找平一遍，刷专用界面剂一遍、刮雅士利专用腻子平均二遍，精细打磨刷雅士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利净味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三合一白色乳胶漆两遍；特殊调色、重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色增加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200元/色。</w:t>
            </w:r>
          </w:p>
        </w:tc>
      </w:tr>
      <w:tr w:rsidR="00CD412A" w:rsidTr="00F714EC">
        <w:trPr>
          <w:trHeight w:val="11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墙面壁纸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1050.00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刷天丽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环保型基膜，天丽食用级糯米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粉胶贴佳合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美无纺纸。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石膏板异形吊顶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1.70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204.00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轻钢龙骨泰山牌石膏板异形吊顶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木制顶线条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312.50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青岛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木密度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板加工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制作吸塑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3432.50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四、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次卧室2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复合木地板地面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96.00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1180.80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1.0厚复合木地板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地面找平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12.30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28.00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344.40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水泥砂浆找平地面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木塑踢脚线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189.00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铝制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门挡条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38.00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圣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象</w:t>
            </w:r>
            <w:proofErr w:type="gramEnd"/>
          </w:p>
        </w:tc>
      </w:tr>
      <w:tr w:rsidR="00CD412A" w:rsidTr="00F714EC">
        <w:trPr>
          <w:trHeight w:val="126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顶面乳胶漆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275.00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原墙粉刷石膏找平一遍，刷专用界面剂一遍、刮雅士利专用腻子平均二遍，精细打磨刷雅士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利净味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三合一白色乳胶漆两遍；特殊调色、重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色增加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200元/色。</w:t>
            </w:r>
          </w:p>
        </w:tc>
      </w:tr>
      <w:tr w:rsidR="00CD412A" w:rsidTr="00F714EC">
        <w:trPr>
          <w:trHeight w:val="127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墙面壁纸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1190.00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原墙粉刷石膏找平一遍，刷专用界面剂一遍、刮雅士利专用腻子平均二遍，精细打磨；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刷天丽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环保型基膜，天丽食用级糯米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粉胶贴佳合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美无纺纸。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石膏板异形吊顶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228.00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轻钢龙骨泰山牌石膏板异形吊顶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木制顶线条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12.50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312.50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青岛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木密度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板加工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制作吸塑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3757.70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五、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卫生间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300*300地砖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736.00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水泥砂浆贴300*300全瓷地砖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TS防水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22.00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770.00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地面及墙面防水，墙面高度至1.8米；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300*600墙砖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26.00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2990.00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水泥砂浆贴300*600全瓷墙砖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300*300集成吊顶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6.40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608.00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厚美的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牌集成吊顶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腰线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380.00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角条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5564.00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五、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厨房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800*800地砖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612.00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水泥砂浆贴800*800全瓷地砖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TS防水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22.00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770.00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300*600墙砖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2760.00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水泥砂浆贴300*600全瓷墙砖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300*300集成吊顶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720.00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厚美的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牌集成吊顶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角条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4942.00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南阳台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800*800地砖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807.50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水泥砂浆贴800*800全瓷地砖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300*600墙砖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26.00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2990.00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水泥砂浆贴300*600全瓷墙砖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300*300集成吊顶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9.50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950.00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厚美的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牌集成吊顶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角条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13.00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260.00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5007.50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六、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北阳台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800*800地砖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170.00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水泥砂浆贴800*800全瓷地砖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300*600墙砖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115.00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920.00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水泥砂浆贴300*600全瓷墙砖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300*300集成吊顶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100.00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200.00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06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厚美的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牌集成吊顶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角条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 xml:space="preserve">80.00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1370.00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六、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其他工程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基装改电布线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130.00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2600.00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墙面、顶面线路改造布线，不包含中央空调线路改造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基础改水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700.00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700.00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卫生间、厨房管路改造</w:t>
            </w:r>
          </w:p>
        </w:tc>
      </w:tr>
      <w:tr w:rsidR="00CD412A" w:rsidTr="00F714EC">
        <w:trPr>
          <w:trHeight w:val="87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灯具安装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350.00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人工费（包括安装射灯、灯带、开关、插座）1.灯具业主提供。2.德国WAGO电线连接器。3.不包含主灯。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材料运输上料及垃圾清运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所搬运材料仅为装饰公司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自已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提供的材料。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成品保护费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130.00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m</w:t>
            </w:r>
            <w:r>
              <w:rPr>
                <w:rStyle w:val="font51"/>
                <w:rFonts w:hint="default"/>
                <w:lang w:bidi="ar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780.00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清扫卫生后使用装饰工程专用保护地垫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管道井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预制管道井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地暖打压试验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1.00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项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widowControl/>
              <w:jc w:val="center"/>
              <w:textAlignment w:val="bottom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4.00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套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80.00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地漏安装费，主材业主提供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小计: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7390.00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共计: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54580.65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工程施工管理费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3%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1637.42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工程总造价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56218.07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注</w:t>
            </w: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1、业主签字前必须理解此报价，同意此报价.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2、施工中如有增加或减少的项目，则按实际增减项目结算工程款，管理费不在增减,但增、减项不得超过工程总造价的10%．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3、业主装修房屋的任何构件（非我方施工主体物件）如可能影响我方施工，无论是拆卸、改造或是用其它办法处理，敬请业主承担费用.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4、所有项目的样式及规格敬请业主与设计师商谈、确定后施工．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5、施工工期过半：木制作框架完成，木线收口；中期验收付款,油漆进场．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6、此报价未含五金配件、门锁、灯具及其它装修主材．</w:t>
            </w: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7、此报价未含税金、物业管理费用（无论任何形式、任何名目），由业主来承担．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left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</w:p>
        </w:tc>
      </w:tr>
      <w:tr w:rsidR="00CD412A" w:rsidTr="00F714EC">
        <w:trPr>
          <w:trHeight w:val="600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楷体" w:eastAsia="楷体" w:hAnsi="楷体" w:cs="楷体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8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8、业主请仔细审查全套合同，以防乙方无意漏项或测量计算误差给您带来麻烦.</w:t>
            </w:r>
          </w:p>
        </w:tc>
      </w:tr>
      <w:tr w:rsidR="00CD412A" w:rsidTr="00F714EC">
        <w:trPr>
          <w:trHeight w:val="600"/>
        </w:trPr>
        <w:tc>
          <w:tcPr>
            <w:tcW w:w="8496" w:type="dxa"/>
            <w:gridSpan w:val="7"/>
            <w:tcBorders>
              <w:top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left"/>
              <w:textAlignment w:val="center"/>
              <w:rPr>
                <w:rFonts w:ascii="楷体" w:eastAsia="楷体" w:hAnsi="楷体" w:cs="楷体" w:hint="eastAsia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0"/>
                <w:szCs w:val="20"/>
                <w:lang w:bidi="ar"/>
              </w:rPr>
              <w:t>客户签字：                       设计师签字：                            审核人：                                年     月     日</w:t>
            </w:r>
          </w:p>
        </w:tc>
      </w:tr>
    </w:tbl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</w:p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3"/>
        <w:gridCol w:w="1171"/>
        <w:gridCol w:w="1905"/>
        <w:gridCol w:w="1883"/>
        <w:gridCol w:w="799"/>
        <w:gridCol w:w="711"/>
        <w:gridCol w:w="788"/>
        <w:gridCol w:w="788"/>
      </w:tblGrid>
      <w:tr w:rsidR="00CD412A" w:rsidTr="00F714EC">
        <w:trPr>
          <w:trHeight w:val="840"/>
        </w:trPr>
        <w:tc>
          <w:tcPr>
            <w:tcW w:w="7640" w:type="dxa"/>
            <w:gridSpan w:val="7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52"/>
                <w:szCs w:val="5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52"/>
                <w:szCs w:val="52"/>
                <w:lang w:bidi="ar"/>
              </w:rPr>
              <w:t>德力、高宝隆地砖</w:t>
            </w:r>
          </w:p>
        </w:tc>
        <w:tc>
          <w:tcPr>
            <w:tcW w:w="788" w:type="dxa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52"/>
                <w:szCs w:val="52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品牌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品名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规格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价格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德力精工砖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抛光砖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超晶石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通体大理石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金刚石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负离子通体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通体柔光55度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通体柔光30度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40"/>
                <w:szCs w:val="40"/>
                <w:lang w:bidi="ar"/>
              </w:rPr>
              <w:t>高宝隆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负离子通体瓷抛石（40*80）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400*800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400*800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金刚大理石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超平大理石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通体大理石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40"/>
                <w:szCs w:val="40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朗峰</w:t>
            </w:r>
            <w:proofErr w:type="gramEnd"/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过门石（黑白根）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色砖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过门石（黑金花）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555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啡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网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800*800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190"/>
        <w:gridCol w:w="1313"/>
        <w:gridCol w:w="1791"/>
        <w:gridCol w:w="1002"/>
        <w:gridCol w:w="612"/>
        <w:gridCol w:w="578"/>
        <w:gridCol w:w="790"/>
        <w:gridCol w:w="786"/>
      </w:tblGrid>
      <w:tr w:rsidR="00CD412A" w:rsidTr="00F714EC">
        <w:trPr>
          <w:trHeight w:val="930"/>
        </w:trPr>
        <w:tc>
          <w:tcPr>
            <w:tcW w:w="7642" w:type="dxa"/>
            <w:gridSpan w:val="8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  <w:lastRenderedPageBreak/>
              <w:t>德力、高宝隆墙砖、地砖</w:t>
            </w:r>
          </w:p>
        </w:tc>
        <w:tc>
          <w:tcPr>
            <w:tcW w:w="786" w:type="dxa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48"/>
                <w:szCs w:val="4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品牌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品名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规格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型号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数量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价格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德力精工砖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墙地砖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 xml:space="preserve">62288A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62288B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62288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墙砖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36009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墙砖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61059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墙地砖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36021A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36021B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30021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墙地砖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63320A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63320B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63320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墙砖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63255A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63255B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墙地砖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63255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63256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63256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猿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古时代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墙砖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3905A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3905B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3915A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3915B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3901A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3901B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3911A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3911B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3327A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3327B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30*30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4.5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御鹏</w:t>
            </w:r>
            <w:proofErr w:type="gramEnd"/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墙砖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62880A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D412A" w:rsidTr="00F714EC">
        <w:trPr>
          <w:trHeight w:val="48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jc w:val="center"/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62880B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30*60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片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12A" w:rsidRDefault="00CD412A" w:rsidP="00F714EC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</w:p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</w:p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</w:p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lastRenderedPageBreak/>
        <w:drawing>
          <wp:inline distT="0" distB="0" distL="0" distR="0">
            <wp:extent cx="5276850" cy="3952875"/>
            <wp:effectExtent l="0" t="0" r="0" b="9525"/>
            <wp:docPr id="2" name="图片 2" descr="841283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8412836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2A" w:rsidRDefault="00CD412A" w:rsidP="00CD412A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noProof/>
          <w:sz w:val="28"/>
          <w:szCs w:val="28"/>
        </w:rPr>
        <w:drawing>
          <wp:inline distT="0" distB="0" distL="0" distR="0">
            <wp:extent cx="5276850" cy="3952875"/>
            <wp:effectExtent l="0" t="0" r="0" b="9525"/>
            <wp:docPr id="1" name="图片 1" descr="320029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320029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89" w:rsidRDefault="00CB0989"/>
    <w:sectPr w:rsidR="00CB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2A"/>
    <w:rsid w:val="00CB0989"/>
    <w:rsid w:val="00CD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CD412A"/>
    <w:rPr>
      <w:rFonts w:ascii="楷体" w:eastAsia="楷体" w:hAnsi="楷体" w:cs="楷体" w:hint="eastAsia"/>
      <w:b/>
      <w:i w:val="0"/>
      <w:color w:val="000000"/>
      <w:sz w:val="28"/>
      <w:szCs w:val="28"/>
      <w:u w:val="none"/>
      <w:vertAlign w:val="superscript"/>
    </w:rPr>
  </w:style>
  <w:style w:type="character" w:customStyle="1" w:styleId="font101">
    <w:name w:val="font101"/>
    <w:basedOn w:val="a0"/>
    <w:rsid w:val="00CD412A"/>
    <w:rPr>
      <w:rFonts w:ascii="楷体" w:eastAsia="楷体" w:hAnsi="楷体" w:cs="楷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basedOn w:val="a0"/>
    <w:rsid w:val="00CD412A"/>
    <w:rPr>
      <w:rFonts w:ascii="楷体" w:eastAsia="楷体" w:hAnsi="楷体" w:cs="楷体" w:hint="eastAsia"/>
      <w:b/>
      <w:i w:val="0"/>
      <w:color w:val="000000"/>
      <w:sz w:val="28"/>
      <w:szCs w:val="28"/>
      <w:u w:val="none"/>
      <w:vertAlign w:val="superscript"/>
    </w:rPr>
  </w:style>
  <w:style w:type="character" w:customStyle="1" w:styleId="font51">
    <w:name w:val="font51"/>
    <w:basedOn w:val="a0"/>
    <w:rsid w:val="00CD412A"/>
    <w:rPr>
      <w:rFonts w:ascii="楷体" w:eastAsia="楷体" w:hAnsi="楷体" w:cs="楷体" w:hint="eastAsia"/>
      <w:i w:val="0"/>
      <w:color w:val="000000"/>
      <w:sz w:val="20"/>
      <w:szCs w:val="20"/>
      <w:u w:val="none"/>
      <w:vertAlign w:val="superscript"/>
    </w:rPr>
  </w:style>
  <w:style w:type="paragraph" w:styleId="a3">
    <w:name w:val="Balloon Text"/>
    <w:basedOn w:val="a"/>
    <w:link w:val="Char"/>
    <w:uiPriority w:val="99"/>
    <w:semiHidden/>
    <w:unhideWhenUsed/>
    <w:rsid w:val="00CD41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12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71">
    <w:name w:val="font71"/>
    <w:basedOn w:val="a0"/>
    <w:rsid w:val="00CD412A"/>
    <w:rPr>
      <w:rFonts w:ascii="楷体" w:eastAsia="楷体" w:hAnsi="楷体" w:cs="楷体" w:hint="eastAsia"/>
      <w:b/>
      <w:i w:val="0"/>
      <w:color w:val="000000"/>
      <w:sz w:val="28"/>
      <w:szCs w:val="28"/>
      <w:u w:val="none"/>
      <w:vertAlign w:val="superscript"/>
    </w:rPr>
  </w:style>
  <w:style w:type="character" w:customStyle="1" w:styleId="font101">
    <w:name w:val="font101"/>
    <w:basedOn w:val="a0"/>
    <w:rsid w:val="00CD412A"/>
    <w:rPr>
      <w:rFonts w:ascii="楷体" w:eastAsia="楷体" w:hAnsi="楷体" w:cs="楷体" w:hint="eastAsia"/>
      <w:i w:val="0"/>
      <w:color w:val="000000"/>
      <w:sz w:val="20"/>
      <w:szCs w:val="20"/>
      <w:u w:val="none"/>
      <w:vertAlign w:val="superscript"/>
    </w:rPr>
  </w:style>
  <w:style w:type="character" w:customStyle="1" w:styleId="font01">
    <w:name w:val="font01"/>
    <w:basedOn w:val="a0"/>
    <w:rsid w:val="00CD412A"/>
    <w:rPr>
      <w:rFonts w:ascii="楷体" w:eastAsia="楷体" w:hAnsi="楷体" w:cs="楷体" w:hint="eastAsia"/>
      <w:b/>
      <w:i w:val="0"/>
      <w:color w:val="000000"/>
      <w:sz w:val="28"/>
      <w:szCs w:val="28"/>
      <w:u w:val="none"/>
      <w:vertAlign w:val="superscript"/>
    </w:rPr>
  </w:style>
  <w:style w:type="character" w:customStyle="1" w:styleId="font51">
    <w:name w:val="font51"/>
    <w:basedOn w:val="a0"/>
    <w:rsid w:val="00CD412A"/>
    <w:rPr>
      <w:rFonts w:ascii="楷体" w:eastAsia="楷体" w:hAnsi="楷体" w:cs="楷体" w:hint="eastAsia"/>
      <w:i w:val="0"/>
      <w:color w:val="000000"/>
      <w:sz w:val="20"/>
      <w:szCs w:val="20"/>
      <w:u w:val="none"/>
      <w:vertAlign w:val="superscript"/>
    </w:rPr>
  </w:style>
  <w:style w:type="paragraph" w:styleId="a3">
    <w:name w:val="Balloon Text"/>
    <w:basedOn w:val="a"/>
    <w:link w:val="Char"/>
    <w:uiPriority w:val="99"/>
    <w:semiHidden/>
    <w:unhideWhenUsed/>
    <w:rsid w:val="00CD412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41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2019-02-12T07:00:00Z</dcterms:created>
  <dcterms:modified xsi:type="dcterms:W3CDTF">2019-02-12T07:00:00Z</dcterms:modified>
</cp:coreProperties>
</file>